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 w:line="560" w:lineRule="exact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</w:p>
    <w:p>
      <w:pPr>
        <w:widowControl/>
        <w:spacing w:after="240" w:line="560" w:lineRule="exact"/>
        <w:jc w:val="center"/>
        <w:rPr>
          <w:rFonts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厦门海翼物流有限公司租户信用评分规则</w:t>
      </w:r>
    </w:p>
    <w:p>
      <w:pPr>
        <w:widowControl/>
        <w:spacing w:after="240" w:line="560" w:lineRule="exact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</w:p>
    <w:p>
      <w:pPr>
        <w:widowControl/>
        <w:snapToGrid w:val="0"/>
        <w:spacing w:line="560" w:lineRule="exact"/>
        <w:ind w:firstLine="562" w:firstLineChars="200"/>
        <w:rPr>
          <w:rFonts w:ascii="黑体" w:hAnsi="黑体" w:eastAsia="黑体" w:cs="宋体"/>
          <w:b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kern w:val="0"/>
          <w:sz w:val="28"/>
          <w:szCs w:val="28"/>
        </w:rPr>
        <w:t>一、适用范围</w:t>
      </w:r>
    </w:p>
    <w:p>
      <w:pPr>
        <w:widowControl/>
        <w:snapToGrid w:val="0"/>
        <w:spacing w:line="56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公司所管理的市场性出租房产承租人。</w:t>
      </w:r>
    </w:p>
    <w:p>
      <w:pPr>
        <w:widowControl/>
        <w:snapToGrid w:val="0"/>
        <w:spacing w:line="560" w:lineRule="exact"/>
        <w:ind w:firstLine="562" w:firstLineChars="200"/>
        <w:rPr>
          <w:rFonts w:ascii="黑体" w:hAnsi="黑体" w:eastAsia="黑体" w:cs="宋体"/>
          <w:b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kern w:val="0"/>
          <w:sz w:val="28"/>
          <w:szCs w:val="28"/>
        </w:rPr>
        <w:t>二、评分办法</w:t>
      </w:r>
    </w:p>
    <w:p>
      <w:pPr>
        <w:widowControl/>
        <w:snapToGrid w:val="0"/>
        <w:spacing w:line="56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（一）对于延期缴纳租金的承租人：按延迟自然天数给予相应信用扣分(以合同约定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租</w:t>
      </w:r>
      <w:r>
        <w:rPr>
          <w:rFonts w:hint="eastAsia" w:ascii="仿宋" w:hAnsi="仿宋" w:eastAsia="仿宋" w:cs="宋体"/>
          <w:kern w:val="0"/>
          <w:sz w:val="28"/>
          <w:szCs w:val="28"/>
        </w:rPr>
        <w:t>金缴纳日期和我司银行账户租金到账日期为计算延迟时间依据):租金缴纳每次逾期至应收当月的次月1日至15日，扣5分；逾期至应收当月的次月16日至的最后一个自然日内，扣10分；逾期至应收当月起的第三月1日至最后一个自然日内，扣20分。</w:t>
      </w:r>
    </w:p>
    <w:p>
      <w:pPr>
        <w:widowControl/>
        <w:snapToGrid w:val="0"/>
        <w:spacing w:line="56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因经营困难向我司申请按月付款或延期付款的，经我司同意的，该租户当期扣10分。</w:t>
      </w:r>
    </w:p>
    <w:p>
      <w:pPr>
        <w:widowControl/>
        <w:snapToGrid w:val="0"/>
        <w:spacing w:line="56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（二）对于不配合我司整改要求的承租人：</w:t>
      </w:r>
    </w:p>
    <w:p>
      <w:pPr>
        <w:widowControl/>
        <w:snapToGrid w:val="0"/>
        <w:spacing w:line="56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按整改完成自然天数给予相应信用扣分（以整改通知书约定的整改期限至整改完成时间为依据）：每项每次整改延迟1-10日内，扣1分:11-20日内，扣2分;延迟21-30日，扣4分:以此类推，每多延迟10日，在前一档扣分的基础上加扣2分。</w:t>
      </w:r>
    </w:p>
    <w:p>
      <w:pPr>
        <w:widowControl/>
        <w:snapToGrid w:val="0"/>
        <w:spacing w:line="56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2、对反复出现的需整改事项，每重复一次，加扣5分。</w:t>
      </w:r>
    </w:p>
    <w:p>
      <w:pPr>
        <w:widowControl/>
        <w:snapToGrid w:val="0"/>
        <w:spacing w:line="560" w:lineRule="exact"/>
        <w:ind w:firstLine="562" w:firstLineChars="200"/>
        <w:rPr>
          <w:rFonts w:ascii="黑体" w:hAnsi="黑体" w:eastAsia="黑体" w:cs="宋体"/>
          <w:b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kern w:val="0"/>
          <w:sz w:val="28"/>
          <w:szCs w:val="28"/>
        </w:rPr>
        <w:t>三、信用等级评定</w:t>
      </w:r>
    </w:p>
    <w:p>
      <w:pPr>
        <w:widowControl/>
        <w:snapToGrid w:val="0"/>
        <w:spacing w:line="56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承租人原始分100分，计分周期为合同期。</w:t>
      </w:r>
    </w:p>
    <w:p>
      <w:pPr>
        <w:widowControl/>
        <w:snapToGrid w:val="0"/>
        <w:spacing w:line="56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在一个计分周期内根据租户评分表进行累计扣分，按最终信用得分，将承租户信用等级分为五个等级，具体如下表:</w:t>
      </w:r>
    </w:p>
    <w:tbl>
      <w:tblPr>
        <w:tblStyle w:val="6"/>
        <w:tblW w:w="485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580"/>
        <w:gridCol w:w="2107"/>
        <w:gridCol w:w="3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60" w:type="pct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信用等级</w:t>
            </w:r>
          </w:p>
        </w:tc>
        <w:tc>
          <w:tcPr>
            <w:tcW w:w="955" w:type="pct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信用评分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信用风险提示</w:t>
            </w:r>
          </w:p>
        </w:tc>
        <w:tc>
          <w:tcPr>
            <w:tcW w:w="2011" w:type="pct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限制性条款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60" w:type="pct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A</w:t>
            </w:r>
          </w:p>
        </w:tc>
        <w:tc>
          <w:tcPr>
            <w:tcW w:w="955" w:type="pct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100-80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信用优</w:t>
            </w:r>
          </w:p>
        </w:tc>
        <w:tc>
          <w:tcPr>
            <w:tcW w:w="2011" w:type="pct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60" w:type="pct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B</w:t>
            </w:r>
          </w:p>
        </w:tc>
        <w:tc>
          <w:tcPr>
            <w:tcW w:w="955" w:type="pct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79-70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信用良</w:t>
            </w:r>
          </w:p>
        </w:tc>
        <w:tc>
          <w:tcPr>
            <w:tcW w:w="2011" w:type="pct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视为自动放弃优先承租权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60" w:type="pct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C</w:t>
            </w:r>
          </w:p>
        </w:tc>
        <w:tc>
          <w:tcPr>
            <w:tcW w:w="955" w:type="pct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69-60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信用一般</w:t>
            </w:r>
          </w:p>
        </w:tc>
        <w:tc>
          <w:tcPr>
            <w:tcW w:w="2011" w:type="pct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提高投标押金、租赁押金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60" w:type="pct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D</w:t>
            </w:r>
          </w:p>
        </w:tc>
        <w:tc>
          <w:tcPr>
            <w:tcW w:w="955" w:type="pct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59-50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存在信用风险</w:t>
            </w:r>
          </w:p>
        </w:tc>
        <w:tc>
          <w:tcPr>
            <w:tcW w:w="2011" w:type="pct"/>
            <w:vAlign w:val="bottom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提供经我司认可的担保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60" w:type="pct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E</w:t>
            </w:r>
          </w:p>
        </w:tc>
        <w:tc>
          <w:tcPr>
            <w:tcW w:w="955" w:type="pct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49及以下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较高信用风险</w:t>
            </w:r>
          </w:p>
        </w:tc>
        <w:tc>
          <w:tcPr>
            <w:tcW w:w="2011" w:type="pct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取消投标权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备注：如客户被评级为D，则限制条款累加为BCD项，以此类推。以上限制条款可根据招商情况进行适当调整。</w:t>
            </w:r>
          </w:p>
        </w:tc>
      </w:tr>
    </w:tbl>
    <w:p>
      <w:pPr>
        <w:widowControl/>
        <w:snapToGrid w:val="0"/>
        <w:spacing w:line="560" w:lineRule="exact"/>
        <w:ind w:firstLine="562" w:firstLineChars="200"/>
        <w:rPr>
          <w:rFonts w:ascii="黑体" w:hAnsi="黑体" w:eastAsia="黑体" w:cs="宋体"/>
          <w:b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kern w:val="0"/>
          <w:sz w:val="28"/>
          <w:szCs w:val="28"/>
        </w:rPr>
        <w:t>四、禁止参加我司房产招租的情形</w:t>
      </w:r>
    </w:p>
    <w:p>
      <w:pPr>
        <w:widowControl/>
        <w:snapToGrid w:val="0"/>
        <w:spacing w:line="56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存在以下情形的企业、其他组织（含其关联企业）及其股东或合伙人和自然人（含其新设立的企业）不得参加我司房产招租：</w:t>
      </w:r>
    </w:p>
    <w:p>
      <w:pPr>
        <w:widowControl/>
        <w:snapToGrid w:val="0"/>
        <w:spacing w:line="56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（一）拖欠厦门海翼集团有限公司及其所属企业租金的；</w:t>
      </w:r>
    </w:p>
    <w:p>
      <w:pPr>
        <w:widowControl/>
        <w:snapToGrid w:val="0"/>
        <w:spacing w:line="56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（二）存在恶意违约或存在被司法机关判定为承担违约责任的；</w:t>
      </w:r>
    </w:p>
    <w:p>
      <w:pPr>
        <w:widowControl/>
        <w:snapToGrid w:val="0"/>
        <w:spacing w:line="56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（三）在全国企业信用信息公示系统上存在不良信用记录的；</w:t>
      </w:r>
    </w:p>
    <w:p>
      <w:pPr>
        <w:widowControl/>
        <w:snapToGrid w:val="0"/>
        <w:spacing w:line="56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（四）被列入厦门市国有企业或厦门国贸控股集团有限公司、厦门海翼集团有限公司承租信用体系负面名单的；</w:t>
      </w:r>
    </w:p>
    <w:p>
      <w:pPr>
        <w:widowControl/>
        <w:snapToGrid w:val="0"/>
        <w:spacing w:line="56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（五）被列入失信被执行人员名单的；</w:t>
      </w:r>
    </w:p>
    <w:p>
      <w:pPr>
        <w:widowControl/>
        <w:snapToGrid w:val="0"/>
        <w:spacing w:line="56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（六）其他可能影响全面履行资产租赁合同的情形。</w:t>
      </w:r>
    </w:p>
    <w:p>
      <w:pPr>
        <w:widowControl/>
        <w:snapToGrid w:val="0"/>
        <w:spacing w:line="56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bookmarkStart w:id="0" w:name="_GoBack"/>
      <w:bookmarkEnd w:id="0"/>
    </w:p>
    <w:p>
      <w:pPr>
        <w:spacing w:line="520" w:lineRule="exact"/>
        <w:ind w:firstLine="5280" w:firstLineChars="2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厦门海翼物流有限公司</w:t>
      </w:r>
    </w:p>
    <w:p>
      <w:pPr>
        <w:spacing w:line="520" w:lineRule="exact"/>
        <w:ind w:right="840" w:firstLine="480" w:firstLineChars="200"/>
        <w:jc w:val="right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4"/>
          <w:szCs w:val="24"/>
        </w:rPr>
        <w:t>2023年</w:t>
      </w:r>
      <w:r>
        <w:rPr>
          <w:rFonts w:ascii="宋体" w:hAnsi="宋体"/>
          <w:color w:val="000000"/>
          <w:sz w:val="24"/>
          <w:szCs w:val="24"/>
        </w:rPr>
        <w:t>9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>1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>
      <w:pPr>
        <w:widowControl/>
        <w:snapToGrid w:val="0"/>
        <w:spacing w:line="520" w:lineRule="exact"/>
        <w:ind w:firstLine="480" w:firstLineChars="200"/>
        <w:jc w:val="left"/>
        <w:rPr>
          <w:rFonts w:cs="仿宋_GB2312" w:asciiTheme="minorEastAsia" w:hAnsiTheme="minorEastAsia" w:eastAsiaTheme="minorEastAsia"/>
          <w:bCs/>
          <w:kern w:val="0"/>
          <w:sz w:val="24"/>
          <w:szCs w:val="24"/>
        </w:rPr>
      </w:pPr>
    </w:p>
    <w:p>
      <w:pPr>
        <w:widowControl/>
        <w:snapToGrid w:val="0"/>
        <w:spacing w:line="560" w:lineRule="exact"/>
        <w:ind w:left="5461" w:leftChars="2534" w:hanging="140" w:hangingChars="50"/>
        <w:jc w:val="left"/>
        <w:rPr>
          <w:rFonts w:ascii="仿宋" w:hAnsi="仿宋" w:eastAsia="仿宋" w:cs="宋体"/>
          <w:kern w:val="0"/>
          <w:sz w:val="28"/>
          <w:szCs w:val="28"/>
        </w:rPr>
      </w:pPr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wOTk1YTJlYThjYmMwZjU5ZTc1M2IzOGY4ZTQ2YTAifQ=="/>
  </w:docVars>
  <w:rsids>
    <w:rsidRoot w:val="00FD36AE"/>
    <w:rsid w:val="000466BB"/>
    <w:rsid w:val="00053098"/>
    <w:rsid w:val="000A632C"/>
    <w:rsid w:val="000A7E67"/>
    <w:rsid w:val="000B67E5"/>
    <w:rsid w:val="000E1357"/>
    <w:rsid w:val="00123C92"/>
    <w:rsid w:val="00143F8E"/>
    <w:rsid w:val="00146D49"/>
    <w:rsid w:val="00147DD1"/>
    <w:rsid w:val="00160CE7"/>
    <w:rsid w:val="0017354E"/>
    <w:rsid w:val="00174555"/>
    <w:rsid w:val="001747A2"/>
    <w:rsid w:val="00196BE3"/>
    <w:rsid w:val="001B539C"/>
    <w:rsid w:val="001C4565"/>
    <w:rsid w:val="001C5907"/>
    <w:rsid w:val="001E02B9"/>
    <w:rsid w:val="001E1CE9"/>
    <w:rsid w:val="00204B96"/>
    <w:rsid w:val="00223AD0"/>
    <w:rsid w:val="002368D2"/>
    <w:rsid w:val="00247CF0"/>
    <w:rsid w:val="00251005"/>
    <w:rsid w:val="002534CA"/>
    <w:rsid w:val="00253854"/>
    <w:rsid w:val="00275734"/>
    <w:rsid w:val="002813F6"/>
    <w:rsid w:val="0028553F"/>
    <w:rsid w:val="002A670D"/>
    <w:rsid w:val="002B24E3"/>
    <w:rsid w:val="002D5717"/>
    <w:rsid w:val="00316D6F"/>
    <w:rsid w:val="00330893"/>
    <w:rsid w:val="00330DAA"/>
    <w:rsid w:val="0034115C"/>
    <w:rsid w:val="0034273C"/>
    <w:rsid w:val="003A2C6D"/>
    <w:rsid w:val="003E1F69"/>
    <w:rsid w:val="00427F48"/>
    <w:rsid w:val="00436EA0"/>
    <w:rsid w:val="00440B1F"/>
    <w:rsid w:val="004542F5"/>
    <w:rsid w:val="0046443F"/>
    <w:rsid w:val="00465262"/>
    <w:rsid w:val="00465FE7"/>
    <w:rsid w:val="005126EF"/>
    <w:rsid w:val="00522F4E"/>
    <w:rsid w:val="00544C2B"/>
    <w:rsid w:val="005B24C1"/>
    <w:rsid w:val="005E074D"/>
    <w:rsid w:val="00645952"/>
    <w:rsid w:val="0066622F"/>
    <w:rsid w:val="00670C9C"/>
    <w:rsid w:val="00671748"/>
    <w:rsid w:val="00693E35"/>
    <w:rsid w:val="00694E48"/>
    <w:rsid w:val="006A1D70"/>
    <w:rsid w:val="006A47C8"/>
    <w:rsid w:val="006B6ECB"/>
    <w:rsid w:val="006F1D30"/>
    <w:rsid w:val="00741975"/>
    <w:rsid w:val="007438D1"/>
    <w:rsid w:val="00765ABF"/>
    <w:rsid w:val="00776B10"/>
    <w:rsid w:val="007858CF"/>
    <w:rsid w:val="007A785E"/>
    <w:rsid w:val="007B5810"/>
    <w:rsid w:val="007D4000"/>
    <w:rsid w:val="007D4779"/>
    <w:rsid w:val="007F6836"/>
    <w:rsid w:val="00812531"/>
    <w:rsid w:val="008459C0"/>
    <w:rsid w:val="008563DD"/>
    <w:rsid w:val="00881295"/>
    <w:rsid w:val="00885079"/>
    <w:rsid w:val="008C127E"/>
    <w:rsid w:val="00901944"/>
    <w:rsid w:val="009075F0"/>
    <w:rsid w:val="00926250"/>
    <w:rsid w:val="00931817"/>
    <w:rsid w:val="00956645"/>
    <w:rsid w:val="00985F46"/>
    <w:rsid w:val="009870E8"/>
    <w:rsid w:val="00994584"/>
    <w:rsid w:val="009B1FF2"/>
    <w:rsid w:val="009B3BF9"/>
    <w:rsid w:val="009C59E1"/>
    <w:rsid w:val="009E3A53"/>
    <w:rsid w:val="00A070C4"/>
    <w:rsid w:val="00A13EBD"/>
    <w:rsid w:val="00A165A8"/>
    <w:rsid w:val="00A23E8F"/>
    <w:rsid w:val="00A26E12"/>
    <w:rsid w:val="00A33EB7"/>
    <w:rsid w:val="00A60F9F"/>
    <w:rsid w:val="00A67EFF"/>
    <w:rsid w:val="00A67FEA"/>
    <w:rsid w:val="00A82500"/>
    <w:rsid w:val="00A854E5"/>
    <w:rsid w:val="00A85762"/>
    <w:rsid w:val="00AB72BF"/>
    <w:rsid w:val="00AC7253"/>
    <w:rsid w:val="00AD6B1A"/>
    <w:rsid w:val="00AE1E12"/>
    <w:rsid w:val="00B80B85"/>
    <w:rsid w:val="00B80BEA"/>
    <w:rsid w:val="00BB0655"/>
    <w:rsid w:val="00BD78F6"/>
    <w:rsid w:val="00BF41C8"/>
    <w:rsid w:val="00C2545F"/>
    <w:rsid w:val="00C433D3"/>
    <w:rsid w:val="00C66622"/>
    <w:rsid w:val="00CA06E8"/>
    <w:rsid w:val="00CC2B82"/>
    <w:rsid w:val="00CC5778"/>
    <w:rsid w:val="00CF0162"/>
    <w:rsid w:val="00CF0927"/>
    <w:rsid w:val="00CF337D"/>
    <w:rsid w:val="00D101E4"/>
    <w:rsid w:val="00D16BBF"/>
    <w:rsid w:val="00D50FC0"/>
    <w:rsid w:val="00D51829"/>
    <w:rsid w:val="00D527C9"/>
    <w:rsid w:val="00D560A6"/>
    <w:rsid w:val="00D8160B"/>
    <w:rsid w:val="00D87699"/>
    <w:rsid w:val="00D91B86"/>
    <w:rsid w:val="00D972CF"/>
    <w:rsid w:val="00DB58ED"/>
    <w:rsid w:val="00DD2E68"/>
    <w:rsid w:val="00DF0D2F"/>
    <w:rsid w:val="00E07757"/>
    <w:rsid w:val="00E1063B"/>
    <w:rsid w:val="00E4356A"/>
    <w:rsid w:val="00E6741C"/>
    <w:rsid w:val="00E7291F"/>
    <w:rsid w:val="00E77D53"/>
    <w:rsid w:val="00E94DE1"/>
    <w:rsid w:val="00E96920"/>
    <w:rsid w:val="00EC11CD"/>
    <w:rsid w:val="00ED17B4"/>
    <w:rsid w:val="00EE15DE"/>
    <w:rsid w:val="00F01B59"/>
    <w:rsid w:val="00F17E2E"/>
    <w:rsid w:val="00F7284E"/>
    <w:rsid w:val="00F731B0"/>
    <w:rsid w:val="00F94186"/>
    <w:rsid w:val="00F975FA"/>
    <w:rsid w:val="00FA6E35"/>
    <w:rsid w:val="00FB5590"/>
    <w:rsid w:val="00FB5A76"/>
    <w:rsid w:val="00FB6443"/>
    <w:rsid w:val="00FB6A98"/>
    <w:rsid w:val="00FD36AE"/>
    <w:rsid w:val="0B395D5F"/>
    <w:rsid w:val="76D605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C1983-6CA8-4AAE-824C-E4C6F36BE6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835</Words>
  <Characters>876</Characters>
  <Lines>6</Lines>
  <Paragraphs>1</Paragraphs>
  <TotalTime>0</TotalTime>
  <ScaleCrop>false</ScaleCrop>
  <LinksUpToDate>false</LinksUpToDate>
  <CharactersWithSpaces>876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2022-08-22T02:08:00Z</dcterms:created>
  <dc:creator>李岩</dc:creator>
  <cp:lastModifiedBy>赵若辰</cp:lastModifiedBy>
  <cp:lastPrinted>2019-11-12T03:44:00Z</cp:lastPrinted>
  <dcterms:modified xsi:type="dcterms:W3CDTF">2023-09-06T01:02:33Z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A064842DA87C4249866F583DF8033FBC_12</vt:lpwstr>
  </property>
</Properties>
</file>